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BD45D" w14:textId="1CB184AF" w:rsidR="00BC13DA" w:rsidRPr="003E5719" w:rsidRDefault="00BC13DA" w:rsidP="003E5719">
      <w:pPr>
        <w:pStyle w:val="Title"/>
        <w:rPr>
          <w:color w:val="1B1B1B"/>
        </w:rPr>
      </w:pPr>
      <w:r>
        <w:t>P</w:t>
      </w:r>
      <w:r w:rsidRPr="003D7226">
        <w:t>lan-</w:t>
      </w:r>
      <w:r>
        <w:t>D</w:t>
      </w:r>
      <w:r w:rsidRPr="003D7226">
        <w:t>o-</w:t>
      </w:r>
      <w:r>
        <w:t>S</w:t>
      </w:r>
      <w:r w:rsidRPr="003D7226">
        <w:t>tudy-</w:t>
      </w:r>
      <w:r>
        <w:t>A</w:t>
      </w:r>
      <w:r w:rsidRPr="003D7226">
        <w:t>ct Worksheet</w:t>
      </w:r>
      <w:bookmarkStart w:id="0" w:name="_Hlk156801693"/>
      <w:r w:rsidR="003E5719">
        <w:t xml:space="preserve">: </w:t>
      </w:r>
      <w:r w:rsidR="003E5719" w:rsidRPr="003E5719">
        <w:rPr>
          <w:color w:val="FF0000"/>
        </w:rPr>
        <w:t>EXAMPLE</w:t>
      </w:r>
      <w:r w:rsidR="003E5719">
        <w:rPr>
          <w:color w:val="FF0000"/>
        </w:rPr>
        <w:t xml:space="preserve"> 1</w:t>
      </w:r>
      <w:r w:rsidR="003448D3">
        <w:pict w14:anchorId="7392AD2C">
          <v:rect id="_x0000_i1025" style="width:373.5pt;height:6pt" o:hralign="center" o:hrstd="t" o:hrnoshade="t" o:hr="t" fillcolor="#a0a0a0" stroked="f"/>
        </w:pict>
      </w:r>
      <w:bookmarkEnd w:id="0"/>
      <w:r w:rsidR="003E5719">
        <w:t xml:space="preserve">Team Name: Team ACS </w:t>
      </w:r>
    </w:p>
    <w:p w14:paraId="733EE8AC" w14:textId="3078FE4A" w:rsidR="00BC13DA" w:rsidRPr="003E5719" w:rsidRDefault="00BC13DA" w:rsidP="00BC13DA">
      <w:pPr>
        <w:rPr>
          <w:i/>
          <w:iCs/>
        </w:rPr>
      </w:pPr>
      <w:r>
        <w:t>This plan-do-study-act (PDSA) worksheet helps create your action plan.</w:t>
      </w:r>
      <w:r w:rsidR="003E5719">
        <w:t xml:space="preserve"> This worksheet was adapted from AHRQ </w:t>
      </w:r>
      <w:r w:rsidR="003E5719" w:rsidRPr="003E5719">
        <w:rPr>
          <w:i/>
          <w:iCs/>
        </w:rPr>
        <w:t>Health Literacy Universal Precautions Toolkit, 3</w:t>
      </w:r>
      <w:r w:rsidR="003E5719" w:rsidRPr="003E5719">
        <w:rPr>
          <w:i/>
          <w:iCs/>
          <w:vertAlign w:val="superscript"/>
        </w:rPr>
        <w:t>rd</w:t>
      </w:r>
      <w:r w:rsidR="003E5719" w:rsidRPr="003E5719">
        <w:rPr>
          <w:i/>
          <w:iCs/>
        </w:rPr>
        <w:t xml:space="preserve"> Edition</w:t>
      </w:r>
      <w:r w:rsidR="003E5719">
        <w:rPr>
          <w:i/>
          <w:iCs/>
        </w:rPr>
        <w:t>. See footnote citation</w:t>
      </w:r>
    </w:p>
    <w:p w14:paraId="2BC27B8F" w14:textId="29EF5B2A" w:rsidR="00BC13DA" w:rsidRDefault="00BC13DA" w:rsidP="003E5719">
      <w:pPr>
        <w:pStyle w:val="Heading1"/>
      </w:pPr>
      <w:r>
        <w:t>PLAN</w:t>
      </w:r>
    </w:p>
    <w:p w14:paraId="5F0AEBFF" w14:textId="6FED293B" w:rsidR="00BC13DA" w:rsidRDefault="00BC13DA" w:rsidP="00BC13DA">
      <w:r>
        <w:rPr>
          <w:rFonts w:ascii="Arial" w:hAnsi="Arial"/>
          <w:sz w:val="20"/>
        </w:rPr>
        <w:t>I plan to: Test the EHR-embedded synoptic reporting tool with one urologist (Dr A) for TURBT cases during a defined test period.</w:t>
      </w:r>
    </w:p>
    <w:p w14:paraId="410C87AE" w14:textId="77777777" w:rsidR="00BC13DA" w:rsidRDefault="00BC13DA" w:rsidP="00BC13DA"/>
    <w:p w14:paraId="18BDE339" w14:textId="3E50EF1B" w:rsidR="00BC13DA" w:rsidRDefault="00BC13DA" w:rsidP="00BC13DA">
      <w:r>
        <w:rPr>
          <w:rFonts w:ascii="Arial" w:hAnsi="Arial"/>
          <w:sz w:val="20"/>
        </w:rPr>
        <w:t>I hope this produces: More complete, structured documentation of whether IVC was administered and, when it was not administered, a documented reason—resulting in fewer “reason not documented” entries on the TApT data collection tool.</w:t>
      </w:r>
    </w:p>
    <w:p w14:paraId="47C2C059" w14:textId="77777777" w:rsidR="00BC13DA" w:rsidRDefault="00BC13DA" w:rsidP="00BC13DA"/>
    <w:p w14:paraId="1559EA7B" w14:textId="77777777" w:rsidR="00BC13DA" w:rsidRPr="003E5719" w:rsidRDefault="00BC13DA" w:rsidP="00BC13DA">
      <w:pPr>
        <w:rPr>
          <w:b/>
          <w:bCs/>
        </w:rPr>
      </w:pPr>
      <w:r w:rsidRPr="003E5719">
        <w:rPr>
          <w:b/>
          <w:bCs/>
        </w:rPr>
        <w:t>Steps to execute:</w:t>
      </w:r>
    </w:p>
    <w:p w14:paraId="3585237C" w14:textId="31469852" w:rsidR="00BC13DA" w:rsidRDefault="00BC13DA" w:rsidP="00BC13DA">
      <w:r>
        <w:rPr>
          <w:rFonts w:ascii="Arial" w:hAnsi="Arial"/>
          <w:sz w:val="20"/>
        </w:rPr>
        <w:tab/>
        <w:t>1. IT will build, validate, and activate the synoptic report for Dr A.</w:t>
      </w:r>
    </w:p>
    <w:p w14:paraId="4CCC3664" w14:textId="055E970F" w:rsidR="003E5719" w:rsidRDefault="00BC13DA" w:rsidP="00BC13DA">
      <w:r>
        <w:rPr>
          <w:rFonts w:ascii="Arial" w:hAnsi="Arial"/>
          <w:sz w:val="20"/>
        </w:rPr>
        <w:tab/>
        <w:t>2. Dr A will complete the synoptic report for each TURBT performed during the test period.</w:t>
      </w:r>
    </w:p>
    <w:p w14:paraId="5F2CB90B" w14:textId="0CCC0132" w:rsidR="003E5719" w:rsidRDefault="003E5719" w:rsidP="00BC13DA">
      <w:r>
        <w:rPr>
          <w:rFonts w:ascii="Arial" w:hAnsi="Arial"/>
          <w:sz w:val="20"/>
        </w:rPr>
        <w:tab/>
        <w:t>3. When IVC is not administered, Dr A will select the applicable reason from the report drop-down rather than leaving the reason undocumented.</w:t>
      </w:r>
    </w:p>
    <w:p w14:paraId="0E2D7D0D" w14:textId="77777777" w:rsidR="00BC13DA" w:rsidRDefault="00BC13DA" w:rsidP="00BC13DA">
      <w:pPr>
        <w:pStyle w:val="Heading1"/>
      </w:pPr>
      <w:r>
        <w:t>DO</w:t>
      </w:r>
    </w:p>
    <w:p w14:paraId="198BC0DA" w14:textId="77777777" w:rsidR="00BC13DA" w:rsidRPr="003E5719" w:rsidRDefault="00BC13DA" w:rsidP="00BC13DA">
      <w:pPr>
        <w:rPr>
          <w:b/>
          <w:bCs/>
        </w:rPr>
      </w:pPr>
      <w:r w:rsidRPr="003E5719">
        <w:rPr>
          <w:b/>
          <w:bCs/>
        </w:rPr>
        <w:t>What did you observe?</w:t>
      </w:r>
    </w:p>
    <w:p w14:paraId="34C735DD" w14:textId="64A832DA" w:rsidR="00BC13DA" w:rsidRDefault="003E5719" w:rsidP="00BC13DA">
      <w:pPr>
        <w:pStyle w:val="ListParagraph"/>
        <w:numPr>
          <w:ilvl w:val="0"/>
          <w:numId w:val="1"/>
        </w:numPr>
      </w:pPr>
      <w:r>
        <w:rPr>
          <w:rFonts w:ascii="Arial" w:hAnsi="Arial"/>
          <w:sz w:val="20"/>
        </w:rPr>
        <w:t>Dr A completed the synoptic report for 17 of 18 TURBTs during the July 1–September 1 test period (94% completion).</w:t>
      </w:r>
    </w:p>
    <w:p w14:paraId="596A2FC2" w14:textId="77777777" w:rsidR="00BC13DA" w:rsidRDefault="00BC13DA" w:rsidP="00BC13DA">
      <w:pPr>
        <w:pStyle w:val="Heading1"/>
      </w:pPr>
      <w:r>
        <w:t>STUDY</w:t>
      </w:r>
    </w:p>
    <w:p w14:paraId="5CE652AA" w14:textId="77777777" w:rsidR="00BC13DA" w:rsidRPr="003E5719" w:rsidRDefault="00BC13DA" w:rsidP="00BC13DA">
      <w:pPr>
        <w:rPr>
          <w:b/>
          <w:bCs/>
        </w:rPr>
      </w:pPr>
      <w:r w:rsidRPr="003E5719">
        <w:rPr>
          <w:b/>
          <w:bCs/>
        </w:rPr>
        <w:t>What did you learn? Did you meet your measurement goal?</w:t>
      </w:r>
    </w:p>
    <w:p w14:paraId="4077AC53" w14:textId="17F53769" w:rsidR="00BC13DA" w:rsidRDefault="003E5719" w:rsidP="007C586E">
      <w:pPr>
        <w:pStyle w:val="ListParagraph"/>
        <w:numPr>
          <w:ilvl w:val="0"/>
          <w:numId w:val="1"/>
        </w:numPr>
      </w:pPr>
      <w:r>
        <w:rPr>
          <w:rFonts w:ascii="Arial" w:hAnsi="Arial"/>
          <w:sz w:val="20"/>
        </w:rPr>
        <w:t>The synoptic report was feasible to use in routine workflow and was completed for 94% of eligible TURBTs. The structured fields made the reason for non-administration of IVC easier to identify and interpret. This cycle demonstrates strong report uptake; the next cycle should quantify the change in “reason not documented” entries compared with baseline.</w:t>
      </w:r>
    </w:p>
    <w:p w14:paraId="7AAA354E" w14:textId="0F2E38D2" w:rsidR="007C586E" w:rsidRDefault="007C586E" w:rsidP="007C586E">
      <w:pPr>
        <w:pStyle w:val="Heading1"/>
      </w:pPr>
      <w:r>
        <w:t>ACT</w:t>
      </w:r>
    </w:p>
    <w:p w14:paraId="4A1AC910" w14:textId="0F5DA3D8" w:rsidR="00BC13DA" w:rsidRPr="003E5719" w:rsidRDefault="00BC13DA" w:rsidP="00BC13DA">
      <w:pPr>
        <w:rPr>
          <w:b/>
          <w:bCs/>
        </w:rPr>
      </w:pPr>
      <w:r w:rsidRPr="003E5719">
        <w:rPr>
          <w:b/>
          <w:bCs/>
        </w:rPr>
        <w:t>What did you conclude from this cycle?</w:t>
      </w:r>
    </w:p>
    <w:p w14:paraId="73429BBF" w14:textId="22D93024" w:rsidR="003E5719" w:rsidRPr="00EE47F1" w:rsidRDefault="003E5719" w:rsidP="003E5719">
      <w:pPr>
        <w:pStyle w:val="ListParagraph"/>
        <w:numPr>
          <w:ilvl w:val="0"/>
          <w:numId w:val="1"/>
        </w:numPr>
      </w:pPr>
      <w:r>
        <w:rPr>
          <w:rFonts w:ascii="Arial" w:hAnsi="Arial"/>
          <w:sz w:val="20"/>
        </w:rPr>
        <w:t>Adopt and expand: the report achieved high completion (17/18 TURBTs) and made documentation easier to interpret. Activate it for Dr B and Dr C, then track report completion and “reason not documented” rates across clinicians.</w:t>
      </w:r>
    </w:p>
    <w:p w14:paraId="1A4BD16B" w14:textId="77777777" w:rsidR="00261D7C" w:rsidRDefault="00261D7C" w:rsidP="003E5719">
      <w:pPr>
        <w:pStyle w:val="Title"/>
      </w:pPr>
    </w:p>
    <w:p w14:paraId="487FB366" w14:textId="77777777" w:rsidR="00261D7C" w:rsidRDefault="00261D7C" w:rsidP="003E5719">
      <w:pPr>
        <w:pStyle w:val="Title"/>
      </w:pPr>
    </w:p>
    <w:p w14:paraId="0EBC5F96" w14:textId="69ADB82E" w:rsidR="003E5719" w:rsidRPr="003E5719" w:rsidRDefault="003E5719" w:rsidP="003E5719">
      <w:pPr>
        <w:pStyle w:val="Title"/>
        <w:rPr>
          <w:color w:val="1B1B1B"/>
        </w:rPr>
      </w:pPr>
      <w:r>
        <w:lastRenderedPageBreak/>
        <w:t>P</w:t>
      </w:r>
      <w:r w:rsidRPr="003D7226">
        <w:t>lan-</w:t>
      </w:r>
      <w:r>
        <w:t>D</w:t>
      </w:r>
      <w:r w:rsidRPr="003D7226">
        <w:t>o-</w:t>
      </w:r>
      <w:r>
        <w:t>S</w:t>
      </w:r>
      <w:r w:rsidRPr="003D7226">
        <w:t>tudy-</w:t>
      </w:r>
      <w:r>
        <w:t>A</w:t>
      </w:r>
      <w:r w:rsidRPr="003D7226">
        <w:t>ct Worksheet</w:t>
      </w:r>
      <w:r>
        <w:t xml:space="preserve">: </w:t>
      </w:r>
      <w:r w:rsidRPr="003E5719">
        <w:rPr>
          <w:color w:val="FF0000"/>
        </w:rPr>
        <w:t>EXAMPLE</w:t>
      </w:r>
      <w:r>
        <w:rPr>
          <w:color w:val="FF0000"/>
        </w:rPr>
        <w:t xml:space="preserve"> 2</w:t>
      </w:r>
      <w:r w:rsidR="003448D3">
        <w:pict w14:anchorId="0907E3D7">
          <v:rect id="_x0000_i1026" style="width:373.5pt;height:6pt" o:hralign="center" o:hrstd="t" o:hrnoshade="t" o:hr="t" fillcolor="#a0a0a0" stroked="f"/>
        </w:pict>
      </w:r>
      <w:r>
        <w:t>Team Name: Team ACS</w:t>
      </w:r>
    </w:p>
    <w:p w14:paraId="6BABC4F9" w14:textId="77777777" w:rsidR="003E5719" w:rsidRPr="003E5719" w:rsidRDefault="003E5719" w:rsidP="003E5719">
      <w:pPr>
        <w:rPr>
          <w:i/>
          <w:iCs/>
        </w:rPr>
      </w:pPr>
      <w:r>
        <w:t xml:space="preserve">This plan-do-study-act (PDSA) worksheet helps create your action plan. This worksheet was adapted from AHRQ </w:t>
      </w:r>
      <w:r w:rsidRPr="003E5719">
        <w:rPr>
          <w:i/>
          <w:iCs/>
        </w:rPr>
        <w:t>Health Literacy Universal Precautions Toolkit, 3</w:t>
      </w:r>
      <w:r w:rsidRPr="003E5719">
        <w:rPr>
          <w:i/>
          <w:iCs/>
          <w:vertAlign w:val="superscript"/>
        </w:rPr>
        <w:t>rd</w:t>
      </w:r>
      <w:r w:rsidRPr="003E5719">
        <w:rPr>
          <w:i/>
          <w:iCs/>
        </w:rPr>
        <w:t xml:space="preserve"> Edition</w:t>
      </w:r>
      <w:r>
        <w:rPr>
          <w:i/>
          <w:iCs/>
        </w:rPr>
        <w:t>. See footnote citation</w:t>
      </w:r>
    </w:p>
    <w:p w14:paraId="37B0693D" w14:textId="77777777" w:rsidR="003E5719" w:rsidRDefault="003E5719" w:rsidP="003E5719">
      <w:pPr>
        <w:pStyle w:val="Heading1"/>
      </w:pPr>
      <w:r>
        <w:t>PLAN</w:t>
      </w:r>
    </w:p>
    <w:p w14:paraId="05C2087A" w14:textId="36A37B73" w:rsidR="003E5719" w:rsidRDefault="003E5719" w:rsidP="003E5719">
      <w:r>
        <w:rPr>
          <w:rFonts w:ascii="Arial" w:hAnsi="Arial"/>
          <w:sz w:val="20"/>
        </w:rPr>
        <w:t>I plan to: Test a focused physician education intervention on guideline-concordant IVC administration after TURBT.</w:t>
      </w:r>
    </w:p>
    <w:p w14:paraId="7FCBF673" w14:textId="77777777" w:rsidR="003E5719" w:rsidRDefault="003E5719" w:rsidP="003E5719"/>
    <w:p w14:paraId="4EBA9A94" w14:textId="654B266B" w:rsidR="003E5719" w:rsidRDefault="003E5719" w:rsidP="003E5719">
      <w:r>
        <w:rPr>
          <w:rFonts w:ascii="Arial" w:hAnsi="Arial"/>
          <w:sz w:val="20"/>
        </w:rPr>
        <w:t>I hope this produces: Increased urologist knowledge of the guideline recommendations and improved guideline-concordant use of post-TURBT IVC. We will assess reach through attendance and assess impact by comparing post-intervention IVC compliance with the 42% baseline.</w:t>
      </w:r>
    </w:p>
    <w:p w14:paraId="67C902E5" w14:textId="77777777" w:rsidR="003E5719" w:rsidRDefault="003E5719" w:rsidP="003E5719"/>
    <w:p w14:paraId="2580F0F2" w14:textId="77777777" w:rsidR="003E5719" w:rsidRPr="003E5719" w:rsidRDefault="003E5719" w:rsidP="003E5719">
      <w:pPr>
        <w:rPr>
          <w:b/>
          <w:bCs/>
        </w:rPr>
      </w:pPr>
      <w:r w:rsidRPr="003E5719">
        <w:rPr>
          <w:b/>
          <w:bCs/>
        </w:rPr>
        <w:t>Steps to execute:</w:t>
      </w:r>
    </w:p>
    <w:p w14:paraId="5EA84104" w14:textId="3BD758C4" w:rsidR="003E5719" w:rsidRDefault="003E5719" w:rsidP="003E5719">
      <w:r>
        <w:rPr>
          <w:rFonts w:ascii="Arial" w:hAnsi="Arial"/>
          <w:sz w:val="20"/>
        </w:rPr>
        <w:tab/>
        <w:t>1. Identify a urology champion to lead the education and reinforce the practice change.</w:t>
      </w:r>
    </w:p>
    <w:p w14:paraId="77D30CC4" w14:textId="7AA3393D" w:rsidR="003E5719" w:rsidRDefault="003E5719" w:rsidP="007C586E">
      <w:r>
        <w:rPr>
          <w:rFonts w:ascii="Arial" w:hAnsi="Arial"/>
          <w:sz w:val="20"/>
        </w:rPr>
        <w:tab/>
        <w:t>2. Develop concise physician-facing education aligned with NCCN guidance for post-TURBT IVC administration, including clinical rationale and local baseline performance.</w:t>
      </w:r>
    </w:p>
    <w:p w14:paraId="769DC4FE" w14:textId="2DCE71DF" w:rsidR="003E5719" w:rsidRDefault="003E5719" w:rsidP="003E5719">
      <w:r>
        <w:rPr>
          <w:rFonts w:ascii="Arial" w:hAnsi="Arial"/>
          <w:sz w:val="20"/>
        </w:rPr>
        <w:tab/>
        <w:t>3. Schedule the session when most urologists can attend; distribute the slides and guideline materials to those who cannot attend.</w:t>
      </w:r>
    </w:p>
    <w:p w14:paraId="1D9B45FA" w14:textId="77777777" w:rsidR="003E5719" w:rsidRDefault="003E5719" w:rsidP="003E5719">
      <w:pPr>
        <w:pStyle w:val="Heading1"/>
      </w:pPr>
      <w:r>
        <w:t>DO</w:t>
      </w:r>
    </w:p>
    <w:p w14:paraId="4CD48859" w14:textId="77777777" w:rsidR="003E5719" w:rsidRPr="007C586E" w:rsidRDefault="003E5719" w:rsidP="003E5719">
      <w:pPr>
        <w:rPr>
          <w:b/>
          <w:bCs/>
        </w:rPr>
      </w:pPr>
      <w:r w:rsidRPr="007C586E">
        <w:rPr>
          <w:b/>
          <w:bCs/>
        </w:rPr>
        <w:t>What did you observe?</w:t>
      </w:r>
    </w:p>
    <w:p w14:paraId="107F8FEF" w14:textId="25BAAE4A" w:rsidR="003E5719" w:rsidRDefault="003E5719" w:rsidP="003E5719">
      <w:pPr>
        <w:pStyle w:val="ListParagraph"/>
        <w:numPr>
          <w:ilvl w:val="0"/>
          <w:numId w:val="1"/>
        </w:numPr>
      </w:pPr>
      <w:r>
        <w:rPr>
          <w:rFonts w:ascii="Arial" w:hAnsi="Arial"/>
          <w:sz w:val="20"/>
        </w:rPr>
        <w:t>Dr X, the urology champion, delivered a presentation on NCCN guidance for post-TURBT IVC, the clinical rationale for the recommendation, and local TApT baseline performance (42% compliance). Four of five staff urologists attended (80% reach). Slides and guideline materials were sent to all urologists.</w:t>
      </w:r>
    </w:p>
    <w:p w14:paraId="08C16FE3" w14:textId="77777777" w:rsidR="003E5719" w:rsidRDefault="003E5719" w:rsidP="003E5719">
      <w:pPr>
        <w:pStyle w:val="Heading1"/>
      </w:pPr>
      <w:r>
        <w:t>STUDY</w:t>
      </w:r>
    </w:p>
    <w:p w14:paraId="69071E27" w14:textId="77777777" w:rsidR="003E5719" w:rsidRPr="007C586E" w:rsidRDefault="003E5719" w:rsidP="003E5719">
      <w:pPr>
        <w:rPr>
          <w:b/>
          <w:bCs/>
        </w:rPr>
      </w:pPr>
      <w:r w:rsidRPr="007C586E">
        <w:rPr>
          <w:b/>
          <w:bCs/>
        </w:rPr>
        <w:t>What did you learn? Did you meet your measurement goal?</w:t>
      </w:r>
    </w:p>
    <w:p w14:paraId="56F0E872" w14:textId="02AC0C1B" w:rsidR="007C586E" w:rsidRDefault="007C586E" w:rsidP="007C586E">
      <w:pPr>
        <w:pStyle w:val="ListParagraph"/>
        <w:numPr>
          <w:ilvl w:val="0"/>
          <w:numId w:val="1"/>
        </w:numPr>
      </w:pPr>
      <w:r>
        <w:rPr>
          <w:rFonts w:ascii="Arial" w:hAnsi="Arial"/>
          <w:sz w:val="20"/>
        </w:rPr>
        <w:t>The intervention reached 80% of staff urologists and identified a key barrier: concern about giving IVC before a full pathology report is available. No post-intervention compliance result is reported, so improvement from the 42% baseline cannot yet be determined. The next cycle should address this concern and measure post-education IVC compliance.</w:t>
      </w:r>
    </w:p>
    <w:p w14:paraId="0F8EE201" w14:textId="6900DE17" w:rsidR="007C586E" w:rsidRDefault="007C586E" w:rsidP="007C586E">
      <w:pPr>
        <w:pStyle w:val="Heading1"/>
      </w:pPr>
      <w:r>
        <w:t>ACT</w:t>
      </w:r>
    </w:p>
    <w:p w14:paraId="7C398FE0" w14:textId="77777777" w:rsidR="003E5719" w:rsidRPr="007C586E" w:rsidRDefault="003E5719" w:rsidP="003E5719">
      <w:pPr>
        <w:rPr>
          <w:b/>
          <w:bCs/>
        </w:rPr>
      </w:pPr>
      <w:r w:rsidRPr="007C586E">
        <w:rPr>
          <w:b/>
          <w:bCs/>
        </w:rPr>
        <w:t>What did you conclude from this cycle?</w:t>
      </w:r>
    </w:p>
    <w:p w14:paraId="47518913" w14:textId="463792E5" w:rsidR="003E5719" w:rsidRPr="00EE47F1" w:rsidRDefault="007C586E" w:rsidP="003E5719">
      <w:pPr>
        <w:pStyle w:val="ListParagraph"/>
        <w:numPr>
          <w:ilvl w:val="0"/>
          <w:numId w:val="1"/>
        </w:numPr>
      </w:pPr>
      <w:r>
        <w:rPr>
          <w:rFonts w:ascii="Arial" w:hAnsi="Arial"/>
          <w:sz w:val="20"/>
        </w:rPr>
        <w:t>Adapt and continue: education achieved strong reach and identified a specific barrier to guideline concordance. Next, clarify the guideline criteria and the role of pathology information, measure IVC compliance against the 42% baseline, and then extend role-specific education to nursing, pharmacy, and technical staff.</w:t>
      </w:r>
    </w:p>
    <w:p w14:paraId="6E1FDA13" w14:textId="60401A7C" w:rsidR="00FF6BD4" w:rsidRDefault="00FF6BD4" w:rsidP="00261D7C">
      <w:pPr>
        <w:spacing w:after="160"/>
      </w:pPr>
    </w:p>
    <w:p w14:paraId="5D9BA65D" w14:textId="77777777" w:rsidR="00853C83" w:rsidRPr="003E5719" w:rsidRDefault="00853C83" w:rsidP="00853C83">
      <w:pPr>
        <w:pStyle w:val="Title"/>
        <w:rPr>
          <w:color w:val="1B1B1B"/>
        </w:rPr>
      </w:pPr>
      <w:r>
        <w:lastRenderedPageBreak/>
        <w:t>P</w:t>
      </w:r>
      <w:r w:rsidRPr="003D7226">
        <w:t>lan-</w:t>
      </w:r>
      <w:r>
        <w:t>D</w:t>
      </w:r>
      <w:r w:rsidRPr="003D7226">
        <w:t>o-</w:t>
      </w:r>
      <w:r>
        <w:t>S</w:t>
      </w:r>
      <w:r w:rsidRPr="003D7226">
        <w:t>tudy-</w:t>
      </w:r>
      <w:r>
        <w:t>A</w:t>
      </w:r>
      <w:r w:rsidRPr="003D7226">
        <w:t>ct Worksheet</w:t>
      </w:r>
      <w:r>
        <w:t xml:space="preserve">: </w:t>
      </w:r>
      <w:r w:rsidRPr="003E5719">
        <w:rPr>
          <w:color w:val="FF0000"/>
        </w:rPr>
        <w:t>EXAMPLE</w:t>
      </w:r>
      <w:r>
        <w:rPr>
          <w:color w:val="FF0000"/>
        </w:rPr>
        <w:t xml:space="preserve"> 1</w:t>
      </w:r>
      <w:r>
        <w:pict w14:anchorId="4CFE94B4">
          <v:rect id="_x0000_i1027" style="width:373.5pt;height:6pt" o:hralign="center" o:hrstd="t" o:hrnoshade="t" o:hr="t" fillcolor="#a0a0a0" stroked="f"/>
        </w:pict>
      </w:r>
      <w:r>
        <w:t xml:space="preserve">Team Name: Team ACS </w:t>
      </w:r>
    </w:p>
    <w:p w14:paraId="374A29FC" w14:textId="77777777" w:rsidR="00853C83" w:rsidRPr="003E5719" w:rsidRDefault="00853C83" w:rsidP="00853C83">
      <w:pPr>
        <w:rPr>
          <w:i/>
          <w:iCs/>
        </w:rPr>
      </w:pPr>
      <w:r>
        <w:t xml:space="preserve">This plan-do-study-act (PDSA) worksheet helps create your action plan. This worksheet was adapted from AHRQ </w:t>
      </w:r>
      <w:r w:rsidRPr="003E5719">
        <w:rPr>
          <w:i/>
          <w:iCs/>
        </w:rPr>
        <w:t>Health Literacy Universal Precautions Toolkit, 3</w:t>
      </w:r>
      <w:r w:rsidRPr="003E5719">
        <w:rPr>
          <w:i/>
          <w:iCs/>
          <w:vertAlign w:val="superscript"/>
        </w:rPr>
        <w:t>rd</w:t>
      </w:r>
      <w:r w:rsidRPr="003E5719">
        <w:rPr>
          <w:i/>
          <w:iCs/>
        </w:rPr>
        <w:t xml:space="preserve"> Edition</w:t>
      </w:r>
      <w:r>
        <w:rPr>
          <w:i/>
          <w:iCs/>
        </w:rPr>
        <w:t>. See footnote citation</w:t>
      </w:r>
    </w:p>
    <w:p w14:paraId="3339671D" w14:textId="77777777" w:rsidR="00853C83" w:rsidRDefault="00853C83" w:rsidP="00853C83">
      <w:pPr>
        <w:pStyle w:val="Heading1"/>
      </w:pPr>
      <w:r>
        <w:t>PLAN</w:t>
      </w:r>
    </w:p>
    <w:p w14:paraId="6EEB5C34" w14:textId="77777777" w:rsidR="00853C83" w:rsidRDefault="00853C83" w:rsidP="00853C83"/>
    <w:p w14:paraId="563D3CB6" w14:textId="77777777" w:rsidR="00853C83" w:rsidRPr="003E5719" w:rsidRDefault="00853C83" w:rsidP="00853C83">
      <w:pPr>
        <w:rPr>
          <w:b/>
          <w:bCs/>
        </w:rPr>
      </w:pPr>
      <w:r w:rsidRPr="003E5719">
        <w:rPr>
          <w:b/>
          <w:bCs/>
        </w:rPr>
        <w:t>Steps to execute:</w:t>
      </w:r>
    </w:p>
    <w:p w14:paraId="351A620F" w14:textId="20437659" w:rsidR="00853C83" w:rsidRDefault="00853C83" w:rsidP="00853C83">
      <w:r>
        <w:rPr>
          <w:rFonts w:ascii="Arial" w:hAnsi="Arial"/>
          <w:sz w:val="20"/>
        </w:rPr>
        <w:tab/>
      </w:r>
    </w:p>
    <w:p w14:paraId="5030AA5F" w14:textId="77777777" w:rsidR="00853C83" w:rsidRDefault="00853C83" w:rsidP="00853C83">
      <w:pPr>
        <w:pStyle w:val="Heading1"/>
      </w:pPr>
      <w:r>
        <w:t>DO</w:t>
      </w:r>
    </w:p>
    <w:p w14:paraId="7604DEF1" w14:textId="77777777" w:rsidR="00853C83" w:rsidRPr="003E5719" w:rsidRDefault="00853C83" w:rsidP="00853C83">
      <w:pPr>
        <w:rPr>
          <w:b/>
          <w:bCs/>
        </w:rPr>
      </w:pPr>
      <w:r w:rsidRPr="003E5719">
        <w:rPr>
          <w:b/>
          <w:bCs/>
        </w:rPr>
        <w:t>What did you observe?</w:t>
      </w:r>
    </w:p>
    <w:p w14:paraId="28B74411" w14:textId="77777777" w:rsidR="00853C83" w:rsidRDefault="00853C83" w:rsidP="00853C83">
      <w:pPr>
        <w:pStyle w:val="Heading1"/>
      </w:pPr>
      <w:r>
        <w:t>STUDY</w:t>
      </w:r>
    </w:p>
    <w:p w14:paraId="19BB16F2" w14:textId="77777777" w:rsidR="00853C83" w:rsidRPr="003E5719" w:rsidRDefault="00853C83" w:rsidP="00853C83">
      <w:pPr>
        <w:rPr>
          <w:b/>
          <w:bCs/>
        </w:rPr>
      </w:pPr>
      <w:r w:rsidRPr="003E5719">
        <w:rPr>
          <w:b/>
          <w:bCs/>
        </w:rPr>
        <w:t>What did you learn? Did you meet your measurement goal?</w:t>
      </w:r>
    </w:p>
    <w:p w14:paraId="7FA5F87E" w14:textId="77777777" w:rsidR="00853C83" w:rsidRDefault="00853C83" w:rsidP="00853C83">
      <w:pPr>
        <w:pStyle w:val="Heading1"/>
      </w:pPr>
      <w:r>
        <w:t>ACT</w:t>
      </w:r>
    </w:p>
    <w:p w14:paraId="1D3B055E" w14:textId="77777777" w:rsidR="00853C83" w:rsidRPr="003E5719" w:rsidRDefault="00853C83" w:rsidP="00853C83">
      <w:pPr>
        <w:rPr>
          <w:b/>
          <w:bCs/>
        </w:rPr>
      </w:pPr>
      <w:r w:rsidRPr="003E5719">
        <w:rPr>
          <w:b/>
          <w:bCs/>
        </w:rPr>
        <w:t>What did you conclude from this cycle?</w:t>
      </w:r>
    </w:p>
    <w:p w14:paraId="3108236A" w14:textId="77777777" w:rsidR="00853C83" w:rsidRDefault="00853C83" w:rsidP="00853C83">
      <w:pPr>
        <w:pStyle w:val="Title"/>
      </w:pPr>
    </w:p>
    <w:p w14:paraId="15D950D4" w14:textId="77777777" w:rsidR="00853C83" w:rsidRDefault="00853C83" w:rsidP="00261D7C">
      <w:pPr>
        <w:spacing w:after="160"/>
      </w:pPr>
    </w:p>
    <w:sectPr w:rsidR="00853C83" w:rsidSect="00261D7C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D2A2F" w14:textId="77777777" w:rsidR="003448D3" w:rsidRDefault="003448D3" w:rsidP="003E5719">
      <w:pPr>
        <w:spacing w:line="240" w:lineRule="auto"/>
      </w:pPr>
      <w:r>
        <w:separator/>
      </w:r>
    </w:p>
  </w:endnote>
  <w:endnote w:type="continuationSeparator" w:id="0">
    <w:p w14:paraId="796462E9" w14:textId="77777777" w:rsidR="003448D3" w:rsidRDefault="003448D3" w:rsidP="003E57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8FB6" w14:textId="13E0CF0B" w:rsidR="003E5719" w:rsidRDefault="003E5719">
    <w:pPr>
      <w:pStyle w:val="Footer"/>
    </w:pPr>
    <w:r w:rsidRPr="003E5719">
      <w:t> Plan-Do-Study-Act Worksheet, Directions, and Examples. Content last reviewed March 2024. Agency for Healthcare Research and Quality, Rockville, MD.</w:t>
    </w:r>
    <w:r w:rsidRPr="003E5719">
      <w:br/>
      <w:t>https://www.ahrq.gov/health-literacy/improve/precautions/tool2b.html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245F2" w14:textId="77777777" w:rsidR="003448D3" w:rsidRDefault="003448D3" w:rsidP="003E5719">
      <w:pPr>
        <w:spacing w:line="240" w:lineRule="auto"/>
      </w:pPr>
      <w:r>
        <w:separator/>
      </w:r>
    </w:p>
  </w:footnote>
  <w:footnote w:type="continuationSeparator" w:id="0">
    <w:p w14:paraId="774B08EF" w14:textId="77777777" w:rsidR="003448D3" w:rsidRDefault="003448D3" w:rsidP="003E57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198A"/>
    <w:multiLevelType w:val="multilevel"/>
    <w:tmpl w:val="04EC4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A0015"/>
    <w:multiLevelType w:val="multilevel"/>
    <w:tmpl w:val="94808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1067D"/>
    <w:multiLevelType w:val="multilevel"/>
    <w:tmpl w:val="30B29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151B36"/>
    <w:multiLevelType w:val="multilevel"/>
    <w:tmpl w:val="20141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FA2BFE"/>
    <w:multiLevelType w:val="multilevel"/>
    <w:tmpl w:val="F698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3D073E"/>
    <w:multiLevelType w:val="multilevel"/>
    <w:tmpl w:val="2F2AC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F24984"/>
    <w:multiLevelType w:val="multilevel"/>
    <w:tmpl w:val="2E18B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BE4A68"/>
    <w:multiLevelType w:val="multilevel"/>
    <w:tmpl w:val="88EE7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8E626C"/>
    <w:multiLevelType w:val="multilevel"/>
    <w:tmpl w:val="06D4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EC79FF"/>
    <w:multiLevelType w:val="multilevel"/>
    <w:tmpl w:val="05225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F05A3F"/>
    <w:multiLevelType w:val="hybridMultilevel"/>
    <w:tmpl w:val="1B9C954A"/>
    <w:lvl w:ilvl="0" w:tplc="18A61F0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aps w:val="0"/>
        <w:strike w:val="0"/>
        <w:dstrike w:val="0"/>
        <w:vanish w:val="0"/>
        <w:color w:val="2F5496" w:themeColor="accent1" w:themeShade="BF"/>
        <w:sz w:val="32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A90DDF"/>
    <w:multiLevelType w:val="multilevel"/>
    <w:tmpl w:val="C81A0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9694712">
    <w:abstractNumId w:val="10"/>
  </w:num>
  <w:num w:numId="2" w16cid:durableId="1890652328">
    <w:abstractNumId w:val="1"/>
  </w:num>
  <w:num w:numId="3" w16cid:durableId="685712931">
    <w:abstractNumId w:val="8"/>
  </w:num>
  <w:num w:numId="4" w16cid:durableId="1279679545">
    <w:abstractNumId w:val="3"/>
  </w:num>
  <w:num w:numId="5" w16cid:durableId="1052466725">
    <w:abstractNumId w:val="4"/>
  </w:num>
  <w:num w:numId="6" w16cid:durableId="1924945720">
    <w:abstractNumId w:val="7"/>
  </w:num>
  <w:num w:numId="7" w16cid:durableId="1353264960">
    <w:abstractNumId w:val="6"/>
  </w:num>
  <w:num w:numId="8" w16cid:durableId="1413702176">
    <w:abstractNumId w:val="9"/>
  </w:num>
  <w:num w:numId="9" w16cid:durableId="1136337600">
    <w:abstractNumId w:val="0"/>
  </w:num>
  <w:num w:numId="10" w16cid:durableId="1792934758">
    <w:abstractNumId w:val="5"/>
  </w:num>
  <w:num w:numId="11" w16cid:durableId="223108688">
    <w:abstractNumId w:val="2"/>
  </w:num>
  <w:num w:numId="12" w16cid:durableId="19517420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DA"/>
    <w:rsid w:val="0012735C"/>
    <w:rsid w:val="001F3D3B"/>
    <w:rsid w:val="00261D7C"/>
    <w:rsid w:val="003448D3"/>
    <w:rsid w:val="003E5719"/>
    <w:rsid w:val="005756D6"/>
    <w:rsid w:val="007077FE"/>
    <w:rsid w:val="007C586E"/>
    <w:rsid w:val="007E518F"/>
    <w:rsid w:val="00853C83"/>
    <w:rsid w:val="008B62BD"/>
    <w:rsid w:val="00AB5FA3"/>
    <w:rsid w:val="00BC13DA"/>
    <w:rsid w:val="00DB39CF"/>
    <w:rsid w:val="00FE2617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2E8D6"/>
  <w15:chartTrackingRefBased/>
  <w15:docId w15:val="{439CC703-768C-4C7D-A583-E9B1B1F9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3DA"/>
    <w:pPr>
      <w:spacing w:after="0"/>
    </w:pPr>
    <w:rPr>
      <w:rFonts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3DA"/>
    <w:pPr>
      <w:keepNext/>
      <w:keepLines/>
      <w:spacing w:before="360" w:after="40"/>
      <w:outlineLvl w:val="0"/>
    </w:pPr>
    <w:rPr>
      <w:rFonts w:ascii="Calibri" w:eastAsiaTheme="majorEastAsia" w:hAnsi="Calibri" w:cstheme="majorBidi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BC13DA"/>
    <w:pPr>
      <w:spacing w:before="240" w:after="40"/>
      <w:outlineLvl w:val="1"/>
    </w:pPr>
    <w:rPr>
      <w:rFonts w:ascii="Calibri" w:eastAsia="Times New Roman" w:hAnsi="Calibri"/>
      <w:b/>
      <w:color w:val="auto"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3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3DA"/>
    <w:rPr>
      <w:rFonts w:ascii="Calibri" w:eastAsiaTheme="majorEastAsia" w:hAnsi="Calibri" w:cstheme="majorBidi"/>
      <w:b/>
      <w:bCs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13DA"/>
    <w:rPr>
      <w:rFonts w:ascii="Calibri" w:eastAsia="Times New Roman" w:hAnsi="Calibri" w:cstheme="majorBidi"/>
      <w:b/>
      <w:sz w:val="28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C13DA"/>
    <w:pPr>
      <w:spacing w:line="240" w:lineRule="auto"/>
      <w:contextualSpacing/>
    </w:pPr>
    <w:rPr>
      <w:rFonts w:ascii="Calibri" w:eastAsiaTheme="majorEastAsia" w:hAnsi="Calibr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3DA"/>
    <w:rPr>
      <w:rFonts w:ascii="Calibri" w:eastAsiaTheme="majorEastAsia" w:hAnsi="Calibri" w:cstheme="majorBidi"/>
      <w:b/>
      <w:spacing w:val="-10"/>
      <w:kern w:val="28"/>
      <w:sz w:val="40"/>
      <w:szCs w:val="56"/>
    </w:rPr>
  </w:style>
  <w:style w:type="paragraph" w:styleId="ListParagraph">
    <w:name w:val="List Paragraph"/>
    <w:basedOn w:val="Normal"/>
    <w:link w:val="ListParagraphChar"/>
    <w:uiPriority w:val="34"/>
    <w:qFormat/>
    <w:rsid w:val="00BC13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13D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C13DA"/>
    <w:rPr>
      <w:b/>
      <w:i w:val="0"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C13DA"/>
    <w:rPr>
      <w:rFonts w:cstheme="minorHAnsi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3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71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719"/>
    <w:rPr>
      <w:rFonts w:cs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E571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719"/>
    <w:rPr>
      <w:rFonts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652</Words>
  <Characters>3683</Characters>
  <Application>Microsoft Office Word</Application>
  <DocSecurity>0</DocSecurity>
  <Lines>78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Nawrocki, Laura (AHRQ/OC) (CTR)</dc:creator>
  <cp:keywords/>
  <dc:description/>
  <cp:lastModifiedBy>Eileen Reilly</cp:lastModifiedBy>
  <cp:revision>4</cp:revision>
  <dcterms:created xsi:type="dcterms:W3CDTF">2026-08-13T18:33:00Z</dcterms:created>
  <dcterms:modified xsi:type="dcterms:W3CDTF">2026-08-13T18:37:00Z</dcterms:modified>
</cp:coreProperties>
</file>